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07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007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1007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07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rStyle w:val="1059"/>
          <w:b/>
          <w:color w:val="000000"/>
          <w:sz w:val="28"/>
          <w:szCs w:val="28"/>
        </w:rPr>
      </w:pPr>
      <w:r>
        <w:rPr>
          <w:rStyle w:val="1059"/>
          <w:b/>
          <w:color w:val="000000"/>
          <w:sz w:val="28"/>
          <w:szCs w:val="28"/>
        </w:rPr>
        <w:t xml:space="preserve">И</w:t>
      </w:r>
      <w:r>
        <w:rPr>
          <w:rStyle w:val="1059"/>
          <w:b/>
          <w:color w:val="000000"/>
          <w:sz w:val="28"/>
          <w:szCs w:val="28"/>
        </w:rPr>
        <w:t xml:space="preserve">тоги </w:t>
      </w:r>
      <w:r>
        <w:rPr>
          <w:rStyle w:val="1059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59"/>
          <w:b/>
          <w:color w:val="000000"/>
          <w:sz w:val="28"/>
          <w:szCs w:val="28"/>
        </w:rPr>
      </w:r>
      <w:r>
        <w:rPr>
          <w:rStyle w:val="1059"/>
          <w:b/>
          <w:color w:val="000000"/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rStyle w:val="1059"/>
          <w:b/>
          <w:color w:val="000000"/>
          <w:sz w:val="28"/>
          <w:szCs w:val="28"/>
        </w:rPr>
      </w:pPr>
      <w:r>
        <w:rPr>
          <w:rStyle w:val="1059"/>
          <w:b/>
          <w:color w:val="000000"/>
          <w:sz w:val="28"/>
          <w:szCs w:val="28"/>
        </w:rPr>
        <w:t xml:space="preserve">за</w:t>
      </w:r>
      <w:r>
        <w:rPr>
          <w:rStyle w:val="1059"/>
          <w:b/>
          <w:color w:val="000000"/>
          <w:sz w:val="28"/>
          <w:szCs w:val="28"/>
        </w:rPr>
        <w:t xml:space="preserve"> </w:t>
      </w:r>
      <w:r>
        <w:rPr>
          <w:rStyle w:val="1059"/>
          <w:b/>
          <w:color w:val="000000"/>
          <w:sz w:val="28"/>
          <w:szCs w:val="28"/>
        </w:rPr>
        <w:t xml:space="preserve">январь-октябрь</w:t>
      </w:r>
      <w:r>
        <w:rPr>
          <w:rStyle w:val="1059"/>
          <w:b/>
          <w:color w:val="000000"/>
          <w:sz w:val="28"/>
          <w:szCs w:val="28"/>
        </w:rPr>
        <w:t xml:space="preserve"> </w:t>
      </w:r>
      <w:r>
        <w:rPr>
          <w:rStyle w:val="1059"/>
          <w:b/>
          <w:color w:val="000000"/>
          <w:sz w:val="28"/>
          <w:szCs w:val="28"/>
        </w:rPr>
        <w:t xml:space="preserve">20</w:t>
      </w:r>
      <w:r>
        <w:rPr>
          <w:rStyle w:val="1059"/>
          <w:b/>
          <w:color w:val="000000"/>
          <w:sz w:val="28"/>
          <w:szCs w:val="28"/>
        </w:rPr>
        <w:t xml:space="preserve">2</w:t>
      </w:r>
      <w:r>
        <w:rPr>
          <w:rStyle w:val="1059"/>
          <w:b/>
          <w:color w:val="000000"/>
          <w:sz w:val="28"/>
          <w:szCs w:val="28"/>
        </w:rPr>
        <w:t xml:space="preserve">4</w:t>
      </w:r>
      <w:r>
        <w:rPr>
          <w:rStyle w:val="1059"/>
          <w:b/>
          <w:color w:val="000000"/>
          <w:sz w:val="28"/>
          <w:szCs w:val="28"/>
        </w:rPr>
        <w:t xml:space="preserve"> </w:t>
      </w:r>
      <w:r>
        <w:rPr>
          <w:rStyle w:val="1059"/>
          <w:b/>
          <w:color w:val="000000"/>
          <w:sz w:val="28"/>
          <w:szCs w:val="28"/>
        </w:rPr>
        <w:t xml:space="preserve">год</w:t>
      </w:r>
      <w:r>
        <w:rPr>
          <w:rStyle w:val="1059"/>
          <w:b/>
          <w:color w:val="000000"/>
          <w:sz w:val="28"/>
          <w:szCs w:val="28"/>
        </w:rPr>
        <w:t xml:space="preserve">а</w:t>
      </w:r>
      <w:r>
        <w:rPr>
          <w:rStyle w:val="1059"/>
          <w:b/>
          <w:color w:val="000000"/>
          <w:sz w:val="28"/>
          <w:szCs w:val="28"/>
        </w:rPr>
      </w:r>
      <w:r>
        <w:rPr>
          <w:rStyle w:val="1059"/>
          <w:b/>
          <w:color w:val="000000"/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white"/>
        </w:rPr>
      </w:pP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</w:p>
    <w:p>
      <w:pPr>
        <w:pStyle w:val="1007"/>
        <w:ind w:firstLine="709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М</w:t>
      </w:r>
      <w:r>
        <w:rPr>
          <w:sz w:val="28"/>
          <w:szCs w:val="28"/>
          <w:highlight w:val="white"/>
          <w:lang w:eastAsia="ru-RU"/>
        </w:rPr>
        <w:t xml:space="preserve">ин</w:t>
      </w:r>
      <w:r>
        <w:rPr>
          <w:sz w:val="28"/>
          <w:szCs w:val="28"/>
          <w:highlight w:val="white"/>
          <w:lang w:eastAsia="ru-RU"/>
        </w:rPr>
        <w:t xml:space="preserve">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рь-октябрь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</w:t>
      </w:r>
      <w:r>
        <w:rPr>
          <w:sz w:val="28"/>
          <w:szCs w:val="28"/>
          <w:highlight w:val="yellow"/>
          <w:lang w:eastAsia="ru-RU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рь-октябрь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</w:t>
      </w:r>
      <w:r>
        <w:rPr>
          <w:sz w:val="28"/>
          <w:szCs w:val="28"/>
          <w:highlight w:val="white"/>
          <w:lang w:eastAsia="ru-RU"/>
        </w:rPr>
        <w:t xml:space="preserve">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1,02 </w:t>
      </w:r>
      <w:r>
        <w:rPr>
          <w:sz w:val="28"/>
          <w:szCs w:val="28"/>
          <w:highlight w:val="white"/>
          <w:lang w:eastAsia="ru-RU"/>
        </w:rPr>
        <w:t xml:space="preserve">трлн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sz w:val="28"/>
          <w:szCs w:val="28"/>
          <w:highlight w:val="white"/>
          <w:lang w:eastAsia="ru-RU"/>
        </w:rPr>
        <w:t xml:space="preserve">– 130,8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</w:t>
      </w:r>
      <w:r>
        <w:rPr>
          <w:sz w:val="28"/>
          <w:szCs w:val="28"/>
          <w:highlight w:val="white"/>
          <w:lang w:eastAsia="ru-RU"/>
        </w:rPr>
        <w:t xml:space="preserve">о итогам десяти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Удмуртия по индексу промышленно</w:t>
      </w:r>
      <w:r>
        <w:rPr>
          <w:sz w:val="28"/>
          <w:szCs w:val="28"/>
          <w:highlight w:val="white"/>
          <w:lang w:eastAsia="ru-RU"/>
        </w:rPr>
        <w:t xml:space="preserve">г</w:t>
      </w:r>
      <w:r>
        <w:rPr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вошла в ТОП-10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106,6</w:t>
      </w:r>
      <w:r>
        <w:rPr>
          <w:sz w:val="28"/>
          <w:szCs w:val="28"/>
          <w:highlight w:val="white"/>
          <w:lang w:eastAsia="ru-RU"/>
        </w:rPr>
        <w:t xml:space="preserve"> %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что выше ИПП Российской Федер</w:t>
      </w:r>
      <w:r>
        <w:rPr>
          <w:sz w:val="28"/>
          <w:szCs w:val="28"/>
          <w:highlight w:val="white"/>
          <w:lang w:eastAsia="ru-RU"/>
        </w:rPr>
        <w:t xml:space="preserve">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,4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606,9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sz w:val="28"/>
          <w:szCs w:val="28"/>
          <w:highlight w:val="white"/>
          <w:lang w:eastAsia="ru-RU"/>
        </w:rPr>
        <w:t xml:space="preserve">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135,8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</w:t>
      </w:r>
      <w:r>
        <w:rPr>
          <w:sz w:val="28"/>
          <w:szCs w:val="28"/>
          <w:highlight w:val="white"/>
          <w:lang w:eastAsia="ru-RU"/>
        </w:rPr>
        <w:t xml:space="preserve">4-е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114,8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6,7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процентный пункт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08,</w:t>
      </w:r>
      <w:r>
        <w:rPr>
          <w:sz w:val="28"/>
          <w:szCs w:val="28"/>
          <w:highlight w:val="white"/>
          <w:lang w:eastAsia="ru-RU"/>
        </w:rPr>
        <w:t xml:space="preserve">1 %).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</w:t>
      </w:r>
      <w:r>
        <w:rPr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sz w:val="28"/>
          <w:szCs w:val="28"/>
          <w:highlight w:val="white"/>
          <w:lang w:eastAsia="ru-RU"/>
        </w:rPr>
        <w:t xml:space="preserve">ила </w:t>
      </w:r>
      <w:r>
        <w:rPr>
          <w:sz w:val="28"/>
          <w:szCs w:val="28"/>
          <w:highlight w:val="white"/>
          <w:lang w:eastAsia="ru-RU"/>
        </w:rPr>
        <w:t xml:space="preserve">59,3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электрического оборуд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ования – 101,5 %;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машин и оборудования, не включенных в другие группировки – 108,3 %;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автотранспортных средств, прицепов и полуприцепов – в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раза;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126,3 %;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134,2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174 %;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ремонт и монтаж машин и оборудования – 100,4 %.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одежды – 101,7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роизводство мебели – 102,8 %;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резиновых и пластмассовых изделий – 101,9 %;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дство бумаги и бумажных изделий – 102,1 %;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медицинских целях – в 8,4 раз;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прочей неметаллической минерально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й продукции – 100,4 %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десяти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ПАО «Ижнефтемаш»,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ООО «ЛАДА Ижевский Автомобильный Завод», </w:t>
      </w:r>
      <w:r>
        <w:rPr>
          <w:color w:val="000000"/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«Элеконд», АО «СЭГЗ», АО</w:t>
      </w:r>
      <w:r>
        <w:rPr>
          <w:sz w:val="28"/>
          <w:szCs w:val="28"/>
          <w:highlight w:val="white"/>
          <w:lang w:eastAsia="ru-RU"/>
        </w:rPr>
        <w:t xml:space="preserve"> «ИОМЗ»,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«Воткинский 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 «ЧМЗ», ООО «Завод Буммаш», </w:t>
      </w:r>
      <w:r>
        <w:rPr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</w:t>
      </w:r>
      <w:r>
        <w:rPr>
          <w:sz w:val="28"/>
          <w:szCs w:val="28"/>
          <w:highlight w:val="white"/>
          <w:lang w:eastAsia="ru-RU"/>
        </w:rPr>
        <w:t xml:space="preserve">ИЭМЗ «Купол», </w:t>
      </w:r>
      <w:r>
        <w:rPr>
          <w:sz w:val="28"/>
          <w:szCs w:val="28"/>
          <w:highlight w:val="white"/>
          <w:lang w:eastAsia="ru-RU"/>
        </w:rPr>
        <w:t xml:space="preserve">АО «Ижевский радиозавод»,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                              </w:t>
      </w:r>
      <w:r>
        <w:rPr>
          <w:sz w:val="28"/>
          <w:szCs w:val="28"/>
          <w:highlight w:val="white"/>
          <w:lang w:eastAsia="ru-RU"/>
        </w:rPr>
        <w:t xml:space="preserve">ООО «М</w:t>
      </w:r>
      <w:r>
        <w:rPr>
          <w:sz w:val="28"/>
          <w:szCs w:val="28"/>
          <w:highlight w:val="white"/>
          <w:lang w:eastAsia="ru-RU"/>
        </w:rPr>
        <w:t xml:space="preserve">ашиностроительный комплекс ЧМЗ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                     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«Новый дом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 ЗАО «Можхим», </w:t>
      </w:r>
      <w:r>
        <w:rPr>
          <w:sz w:val="28"/>
          <w:szCs w:val="28"/>
          <w:highlight w:val="white"/>
          <w:lang w:eastAsia="ru-RU"/>
        </w:rPr>
        <w:t xml:space="preserve">АО «КБЭ ХХI </w:t>
      </w:r>
      <w:r>
        <w:rPr>
          <w:sz w:val="28"/>
          <w:szCs w:val="28"/>
          <w:highlight w:val="white"/>
          <w:lang w:eastAsia="ru-RU"/>
        </w:rPr>
        <w:t xml:space="preserve">века</w:t>
      </w:r>
      <w:r>
        <w:rPr>
          <w:sz w:val="28"/>
          <w:szCs w:val="28"/>
          <w:highlight w:val="white"/>
          <w:lang w:eastAsia="ru-RU"/>
        </w:rPr>
        <w:t xml:space="preserve">», </w:t>
      </w:r>
      <w:r>
        <w:rPr>
          <w:sz w:val="28"/>
          <w:szCs w:val="28"/>
          <w:highlight w:val="white"/>
          <w:lang w:eastAsia="ru-RU"/>
        </w:rPr>
        <w:t xml:space="preserve">АО «Свет»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07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До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б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ыча полезных ископаемых в общем объеме производства составила 35,9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%, объем отгруженных товаров отрасли составил 366,9 млрд. рублей, темп рост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а к соответствующему периоду 2023 года – 127,8 %.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Индекс промышленного производства (ИПП)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по добыче полезных ископаемых в Удмуртской Республике составил 97,6 %.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По «Добыче полезных ископаемых» Удмуртская Республика на 4 месте в ПФО.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Предприятие «Калашникова», выпускающее дроны-камикадзе «КУБ», стало орденоносным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Первый заместитель </w:t>
      </w:r>
      <w:r>
        <w:rPr>
          <w:color w:val="000000"/>
          <w:sz w:val="28"/>
          <w:szCs w:val="28"/>
          <w:highlight w:val="none"/>
        </w:rPr>
        <w:t xml:space="preserve">председателя коллегии Военно-промышленной комиссии Российской Федерации Василий Тонкошкуров вручил орден «За доблестный труд» коллективу ООО «НПО «Ижевские беспилотные системы» (ООО «НПО «ИжБС», концерн «Калашников»). Высокая государственная награда присуж</w:t>
      </w:r>
      <w:r>
        <w:rPr>
          <w:color w:val="000000"/>
          <w:sz w:val="28"/>
          <w:szCs w:val="28"/>
          <w:highlight w:val="none"/>
        </w:rPr>
        <w:t xml:space="preserve">дена предприятию за выдающиеся заслуги в укреплении и развитии экономического, научного и оборонного потенциала Российской Федерации.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Научно-производственное объединение «Ижевские беспилотные системы» основано в 2006 году и сегодня является одним из ведущих в РФ производителей управляемых боеприпасов (УБ) и беспилотных летательных аппаратов (БЛА) военного и гражданского назн</w:t>
      </w:r>
      <w:r>
        <w:rPr>
          <w:color w:val="000000"/>
          <w:sz w:val="28"/>
          <w:szCs w:val="28"/>
          <w:highlight w:val="none"/>
        </w:rPr>
        <w:t xml:space="preserve">ачения.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П</w:t>
      </w:r>
      <w:r>
        <w:rPr>
          <w:color w:val="000000"/>
          <w:sz w:val="28"/>
          <w:szCs w:val="28"/>
          <w:highlight w:val="none"/>
        </w:rPr>
        <w:t xml:space="preserve">родукция от ИжБС высоко зарекомендовала себя в зоне проведения специальной военной операции (СВО): комплексы с БЛА используются для круглосуточного ведения воздушной разведки и высокоточного целеуказания, а «КУБы» – управляемые боеприпасы, массово выпускае</w:t>
      </w:r>
      <w:r>
        <w:rPr>
          <w:color w:val="000000"/>
          <w:sz w:val="28"/>
          <w:szCs w:val="28"/>
          <w:highlight w:val="none"/>
        </w:rPr>
        <w:t xml:space="preserve">мые компанией, – активно применяются на линии боевого соприкосновения для поражения разных целей ВСУ.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</w:t>
      </w:r>
      <w:r>
        <w:rPr>
          <w:color w:val="000000"/>
          <w:sz w:val="28"/>
          <w:szCs w:val="28"/>
          <w:highlight w:val="none"/>
        </w:rPr>
        <w:t xml:space="preserve"> связи с ростом государственного заказа в 10 раз увеличились мощности, а также численность работников на предприятии. В эксплуатацию введены новые инженерно-технологический корпус и производственный цех. Компания продолжает развиваться и модернизироваться,</w:t>
      </w:r>
      <w:r>
        <w:rPr>
          <w:color w:val="000000"/>
          <w:sz w:val="28"/>
          <w:szCs w:val="28"/>
          <w:highlight w:val="none"/>
        </w:rPr>
        <w:t xml:space="preserve"> чтобы оставаться лидером в создании высокотехнологичных беспилотников и соответствовать растущим требованиям заказчиков.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Новый игрок на рынке медицинского оборудования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Cеченовский Университет и Ижевский радиозавод заключили соглашение о сотрудничестве и бизнес-партнёрстве.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Первым совместным продуктом, разработанным при участии химического факультета МГУ, станет прибор для неинвазивного исследования синдрома избыточного бактериального роста — СИБР.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Медоборудование будет производиться в двух исполнениях: портативное устройство для домашнего использования Gastro Home и стационарный аппарат для проведения исследований в учреждениях здравоохранения Gastro One. Предприятие уже изготовило опытные образцы.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Т</w:t>
      </w:r>
      <w:r>
        <w:rPr>
          <w:color w:val="000000"/>
          <w:sz w:val="28"/>
          <w:szCs w:val="28"/>
          <w:highlight w:val="none"/>
        </w:rPr>
        <w:t xml:space="preserve">акой метод исследования применяется в гастроэнтерологии. С его помощью врач может выявить некоторые заболевания желудочно-кишечного тракта, нарушение кишечной микрофлоры, непереносимость лактозы и фруктозы. Например, ФГС или, как говорят в народе, «глотани</w:t>
      </w:r>
      <w:r>
        <w:rPr>
          <w:color w:val="000000"/>
          <w:sz w:val="28"/>
          <w:szCs w:val="28"/>
          <w:highlight w:val="none"/>
        </w:rPr>
        <w:t xml:space="preserve">е трубки» можно заменить таким изделием.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Г</w:t>
      </w:r>
      <w:r>
        <w:rPr>
          <w:color w:val="000000"/>
          <w:sz w:val="28"/>
          <w:szCs w:val="28"/>
          <w:highlight w:val="none"/>
        </w:rPr>
        <w:t xml:space="preserve">астроэнтерологические отделения российских больниц оснащены европейскими аппаратами для дыхательных тестов, но для достижения медицинского суверенитета страны возникла необходимость в разработке отечественного варианта. Сейчас Gastro One — самый точный при</w:t>
      </w:r>
      <w:r>
        <w:rPr>
          <w:color w:val="000000"/>
          <w:sz w:val="28"/>
          <w:szCs w:val="28"/>
          <w:highlight w:val="none"/>
        </w:rPr>
        <w:t xml:space="preserve">бор российского производства с подобным назначением.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Cеченовский Университет и ИРЗ-Локомотив, который выступает производственной площадкой, уже заключили договор на изготовление и поставку анализаторов водорода. Первую партию отгрузят в I квартале 2025 года.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дальнейшем планируется расширить линейку выпускаемых изделий –  предприятие получило необходимые сертификаты соответствия, которые позволяют производить оборудование медицинского назначения.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ООО «ЗАВОД-РЕДУКТОР» успешно выполняет программу импортозамещения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Вопрос проектирования продукции, не уступающей в качестве иностранным аналогам и полностью заменяющей импортные редукторы на отдельных предприятиях, на протяжении нескольких лет является одним из приоритетных в работе завода.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Б</w:t>
      </w:r>
      <w:r>
        <w:rPr>
          <w:color w:val="000000"/>
          <w:sz w:val="28"/>
          <w:szCs w:val="28"/>
          <w:highlight w:val="none"/>
        </w:rPr>
        <w:t xml:space="preserve">лагодаря знаниям и опыту специалистов предприятия сегодня успешно выпускаются редукторы серии 7Ц1, 7Ц2, 7Ц3, 7Ц4, 7КЦ1, 7КЦ2, 7КЦ3. Они применяются в качестве аналогов изделий фирм  Flender (Siemens) (Германия) и серии МС2R, MC3R производства Sew-Eurodrive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(Германия). Также реализуется создание аналогов специальных импортных редукторов. Таких как Stiebel KGT 20/5 с системой рециркуляции масла для приводов прокатного стана и GE3806 - привод оборудования для производства строительных материалов. Налажен регуля</w:t>
      </w:r>
      <w:r>
        <w:rPr>
          <w:color w:val="000000"/>
          <w:sz w:val="28"/>
          <w:szCs w:val="28"/>
          <w:highlight w:val="none"/>
        </w:rPr>
        <w:t xml:space="preserve">рный выпуск редукторов - аналогов производимых ранее на «НКМЗ» («Новокраматорский машиностроительный завод»).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Кроме этого, приобретенный опыт в импортозамещении и наработанная база знаний помогает проводить качественный ремонт и изготовление редукторов и мотор-редукторов, аналогичных зарубежным.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«Калашников» создал индивидуальный фильтр для воды для применения в боевых условиях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К</w:t>
      </w:r>
      <w:r>
        <w:rPr>
          <w:color w:val="000000"/>
          <w:sz w:val="28"/>
          <w:szCs w:val="28"/>
          <w:highlight w:val="none"/>
        </w:rPr>
        <w:t xml:space="preserve">онцерн «Калашников» создал портативный индивидуальный фильтр на основе трековых мембран для очистки воды от механических и химических примесей, бактерий, тяжелых металлов. Он мгновенно делает приемлемой для питья воду практически любой степени загрязненнос</w:t>
      </w:r>
      <w:r>
        <w:rPr>
          <w:color w:val="000000"/>
          <w:sz w:val="28"/>
          <w:szCs w:val="28"/>
          <w:highlight w:val="none"/>
        </w:rPr>
        <w:t xml:space="preserve">ти. Незаменим при использовании в полевых условиях, а также в условиях чрезвычайных ситуаций и гуманитарных катастроф.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Б</w:t>
      </w:r>
      <w:r>
        <w:rPr>
          <w:color w:val="000000"/>
          <w:sz w:val="28"/>
          <w:szCs w:val="28"/>
          <w:highlight w:val="none"/>
        </w:rPr>
        <w:t xml:space="preserve">лагодаря компактным размерам – около 15 см в длину и весом 60 г, фильтр может стать частью боевой экипировки военнослужащего, так как позволяет пить непосредственно из любого ближайшего источника влаги при простом погружении устройства в воду. Кроме того, </w:t>
      </w:r>
      <w:r>
        <w:rPr>
          <w:color w:val="000000"/>
          <w:sz w:val="28"/>
          <w:szCs w:val="28"/>
          <w:highlight w:val="none"/>
        </w:rPr>
        <w:t xml:space="preserve">фильтр легко вставляется в бутылку с горлышком наиболее популярного диаметра - 28 мм.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М</w:t>
      </w:r>
      <w:r>
        <w:rPr>
          <w:color w:val="000000"/>
          <w:sz w:val="28"/>
          <w:szCs w:val="28"/>
          <w:highlight w:val="none"/>
        </w:rPr>
        <w:t xml:space="preserve">аксимальное рабочее давление фильтра - 0,15 бар, производительность – 10-15 литров в час (в зависимости от степени загрязненности исходной воды). Фильтры имеют большой срок службы при простой регулярной регенерации. Их ресурс составляет 20 000 литров (это </w:t>
      </w:r>
      <w:r>
        <w:rPr>
          <w:color w:val="000000"/>
          <w:sz w:val="28"/>
          <w:szCs w:val="28"/>
          <w:highlight w:val="none"/>
        </w:rPr>
        <w:t xml:space="preserve">2 000 стандартных оцинкованных ведер ёмкостью 10 л).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Ф</w:t>
      </w:r>
      <w:r>
        <w:rPr>
          <w:color w:val="000000"/>
          <w:sz w:val="28"/>
          <w:szCs w:val="28"/>
          <w:highlight w:val="none"/>
        </w:rPr>
        <w:t xml:space="preserve">ильтр очищает воду от холерных вибрионов, кишечной палочки, сальмонеллы и других болезнетворных бактерий, пестицидов, тяжелых металлов, нефтепродуктов, хлора. Уменьшает мутность и цветность воды, удаляет неприятные запахи и привкусы, при этом сохраняет все</w:t>
      </w:r>
      <w:r>
        <w:rPr>
          <w:color w:val="000000"/>
          <w:sz w:val="28"/>
          <w:szCs w:val="28"/>
          <w:highlight w:val="none"/>
        </w:rPr>
        <w:t xml:space="preserve"> необходимые для организма микроэлементы.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rPr>
        <w:rStyle w:val="1052"/>
      </w:rPr>
      <w:framePr w:wrap="around" w:vAnchor="text" w:hAnchor="margin" w:xAlign="right" w:y="1"/>
    </w:pPr>
    <w:r>
      <w:rPr>
        <w:rStyle w:val="1052"/>
      </w:rPr>
      <w:fldChar w:fldCharType="begin"/>
    </w:r>
    <w:r>
      <w:rPr>
        <w:rStyle w:val="1052"/>
      </w:rPr>
      <w:instrText xml:space="preserve">PAGE  </w:instrText>
    </w:r>
    <w:r>
      <w:rPr>
        <w:rStyle w:val="1052"/>
      </w:rPr>
      <w:fldChar w:fldCharType="separate"/>
    </w:r>
    <w:r>
      <w:rPr>
        <w:rStyle w:val="1052"/>
      </w:rPr>
      <w:t xml:space="preserve">5</w:t>
    </w:r>
    <w:r>
      <w:rPr>
        <w:rStyle w:val="1052"/>
      </w:rPr>
      <w:fldChar w:fldCharType="end"/>
    </w:r>
    <w:r>
      <w:rPr>
        <w:rStyle w:val="1052"/>
      </w:rPr>
    </w:r>
    <w:r>
      <w:rPr>
        <w:rStyle w:val="1052"/>
      </w:rPr>
    </w:r>
  </w:p>
  <w:p>
    <w:pPr>
      <w:pStyle w:val="104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100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2">
    <w:name w:val="Heading 1"/>
    <w:basedOn w:val="1007"/>
    <w:next w:val="1007"/>
    <w:link w:val="8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3">
    <w:name w:val="Heading 1 Char"/>
    <w:link w:val="832"/>
    <w:uiPriority w:val="9"/>
    <w:rPr>
      <w:rFonts w:ascii="Arial" w:hAnsi="Arial" w:eastAsia="Arial" w:cs="Arial"/>
      <w:sz w:val="40"/>
      <w:szCs w:val="40"/>
    </w:rPr>
  </w:style>
  <w:style w:type="paragraph" w:styleId="834">
    <w:name w:val="Heading 2"/>
    <w:basedOn w:val="1007"/>
    <w:next w:val="1007"/>
    <w:link w:val="8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5">
    <w:name w:val="Heading 2 Char"/>
    <w:link w:val="834"/>
    <w:uiPriority w:val="9"/>
    <w:rPr>
      <w:rFonts w:ascii="Arial" w:hAnsi="Arial" w:eastAsia="Arial" w:cs="Arial"/>
      <w:sz w:val="34"/>
    </w:rPr>
  </w:style>
  <w:style w:type="paragraph" w:styleId="836">
    <w:name w:val="Heading 3"/>
    <w:basedOn w:val="1007"/>
    <w:next w:val="1007"/>
    <w:link w:val="8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7">
    <w:name w:val="Heading 3 Char"/>
    <w:link w:val="836"/>
    <w:uiPriority w:val="9"/>
    <w:rPr>
      <w:rFonts w:ascii="Arial" w:hAnsi="Arial" w:eastAsia="Arial" w:cs="Arial"/>
      <w:sz w:val="30"/>
      <w:szCs w:val="30"/>
    </w:rPr>
  </w:style>
  <w:style w:type="paragraph" w:styleId="838">
    <w:name w:val="Heading 4"/>
    <w:basedOn w:val="1007"/>
    <w:next w:val="1007"/>
    <w:link w:val="8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9">
    <w:name w:val="Heading 4 Char"/>
    <w:link w:val="838"/>
    <w:uiPriority w:val="9"/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1007"/>
    <w:next w:val="1007"/>
    <w:link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1">
    <w:name w:val="Heading 5 Char"/>
    <w:link w:val="840"/>
    <w:uiPriority w:val="9"/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1007"/>
    <w:next w:val="1007"/>
    <w:link w:val="8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3">
    <w:name w:val="Heading 6 Char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1007"/>
    <w:next w:val="1007"/>
    <w:link w:val="8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7 Char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1007"/>
    <w:next w:val="1007"/>
    <w:link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7">
    <w:name w:val="Heading 8 Char"/>
    <w:link w:val="846"/>
    <w:uiPriority w:val="9"/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1007"/>
    <w:next w:val="1007"/>
    <w:link w:val="8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9 Char"/>
    <w:link w:val="848"/>
    <w:uiPriority w:val="9"/>
    <w:rPr>
      <w:rFonts w:ascii="Arial" w:hAnsi="Arial" w:eastAsia="Arial" w:cs="Arial"/>
      <w:i/>
      <w:iCs/>
      <w:sz w:val="21"/>
      <w:szCs w:val="21"/>
    </w:rPr>
  </w:style>
  <w:style w:type="paragraph" w:styleId="850">
    <w:name w:val="List Paragraph"/>
    <w:basedOn w:val="1007"/>
    <w:uiPriority w:val="34"/>
    <w:qFormat/>
    <w:pPr>
      <w:contextualSpacing/>
      <w:ind w:left="720"/>
    </w:pPr>
  </w:style>
  <w:style w:type="paragraph" w:styleId="851">
    <w:name w:val="No Spacing"/>
    <w:uiPriority w:val="1"/>
    <w:qFormat/>
    <w:pPr>
      <w:spacing w:before="0" w:after="0" w:line="240" w:lineRule="auto"/>
    </w:pPr>
  </w:style>
  <w:style w:type="character" w:styleId="852">
    <w:name w:val="Title Char"/>
    <w:link w:val="1081"/>
    <w:uiPriority w:val="10"/>
    <w:rPr>
      <w:sz w:val="48"/>
      <w:szCs w:val="48"/>
    </w:rPr>
  </w:style>
  <w:style w:type="paragraph" w:styleId="853">
    <w:name w:val="Subtitle"/>
    <w:basedOn w:val="1007"/>
    <w:next w:val="1007"/>
    <w:link w:val="854"/>
    <w:uiPriority w:val="11"/>
    <w:qFormat/>
    <w:pPr>
      <w:spacing w:before="200" w:after="200"/>
    </w:pPr>
    <w:rPr>
      <w:sz w:val="24"/>
      <w:szCs w:val="24"/>
    </w:rPr>
  </w:style>
  <w:style w:type="character" w:styleId="854">
    <w:name w:val="Subtitle Char"/>
    <w:link w:val="853"/>
    <w:uiPriority w:val="11"/>
    <w:rPr>
      <w:sz w:val="24"/>
      <w:szCs w:val="24"/>
    </w:rPr>
  </w:style>
  <w:style w:type="paragraph" w:styleId="855">
    <w:name w:val="Quote"/>
    <w:basedOn w:val="1007"/>
    <w:next w:val="1007"/>
    <w:link w:val="856"/>
    <w:uiPriority w:val="29"/>
    <w:qFormat/>
    <w:pPr>
      <w:ind w:left="720" w:right="720"/>
    </w:pPr>
    <w:rPr>
      <w:i/>
    </w:rPr>
  </w:style>
  <w:style w:type="character" w:styleId="856">
    <w:name w:val="Quote Char"/>
    <w:link w:val="855"/>
    <w:uiPriority w:val="29"/>
    <w:rPr>
      <w:i/>
    </w:rPr>
  </w:style>
  <w:style w:type="paragraph" w:styleId="857">
    <w:name w:val="Intense Quote"/>
    <w:basedOn w:val="1007"/>
    <w:next w:val="1007"/>
    <w:link w:val="8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8">
    <w:name w:val="Intense Quote Char"/>
    <w:link w:val="857"/>
    <w:uiPriority w:val="30"/>
    <w:rPr>
      <w:i/>
    </w:rPr>
  </w:style>
  <w:style w:type="character" w:styleId="859">
    <w:name w:val="Header Char"/>
    <w:link w:val="1080"/>
    <w:uiPriority w:val="99"/>
  </w:style>
  <w:style w:type="paragraph" w:styleId="860">
    <w:name w:val="Footer"/>
    <w:basedOn w:val="1007"/>
    <w:link w:val="8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1">
    <w:name w:val="Footer Char"/>
    <w:link w:val="860"/>
    <w:uiPriority w:val="99"/>
  </w:style>
  <w:style w:type="character" w:styleId="862">
    <w:name w:val="Caption Char"/>
    <w:basedOn w:val="1085"/>
    <w:link w:val="860"/>
    <w:uiPriority w:val="99"/>
  </w:style>
  <w:style w:type="table" w:styleId="8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9">
    <w:name w:val="Hyperlink"/>
    <w:uiPriority w:val="99"/>
    <w:unhideWhenUsed/>
    <w:rPr>
      <w:color w:val="0000ff" w:themeColor="hyperlink"/>
      <w:u w:val="single"/>
    </w:rPr>
  </w:style>
  <w:style w:type="paragraph" w:styleId="990">
    <w:name w:val="footnote text"/>
    <w:basedOn w:val="1007"/>
    <w:link w:val="991"/>
    <w:uiPriority w:val="99"/>
    <w:semiHidden/>
    <w:unhideWhenUsed/>
    <w:pPr>
      <w:spacing w:after="40" w:line="240" w:lineRule="auto"/>
    </w:pPr>
    <w:rPr>
      <w:sz w:val="18"/>
    </w:rPr>
  </w:style>
  <w:style w:type="character" w:styleId="991">
    <w:name w:val="Footnote Text Char"/>
    <w:link w:val="990"/>
    <w:uiPriority w:val="99"/>
    <w:rPr>
      <w:sz w:val="18"/>
    </w:rPr>
  </w:style>
  <w:style w:type="character" w:styleId="992">
    <w:name w:val="footnote reference"/>
    <w:uiPriority w:val="99"/>
    <w:unhideWhenUsed/>
    <w:rPr>
      <w:vertAlign w:val="superscript"/>
    </w:rPr>
  </w:style>
  <w:style w:type="paragraph" w:styleId="993">
    <w:name w:val="endnote text"/>
    <w:basedOn w:val="1007"/>
    <w:link w:val="994"/>
    <w:uiPriority w:val="99"/>
    <w:semiHidden/>
    <w:unhideWhenUsed/>
    <w:pPr>
      <w:spacing w:after="0" w:line="240" w:lineRule="auto"/>
    </w:pPr>
    <w:rPr>
      <w:sz w:val="20"/>
    </w:rPr>
  </w:style>
  <w:style w:type="character" w:styleId="994">
    <w:name w:val="Endnote Text Char"/>
    <w:link w:val="993"/>
    <w:uiPriority w:val="99"/>
    <w:rPr>
      <w:sz w:val="20"/>
    </w:rPr>
  </w:style>
  <w:style w:type="character" w:styleId="995">
    <w:name w:val="endnote reference"/>
    <w:uiPriority w:val="99"/>
    <w:semiHidden/>
    <w:unhideWhenUsed/>
    <w:rPr>
      <w:vertAlign w:val="superscript"/>
    </w:rPr>
  </w:style>
  <w:style w:type="paragraph" w:styleId="996">
    <w:name w:val="toc 1"/>
    <w:basedOn w:val="1007"/>
    <w:next w:val="1007"/>
    <w:uiPriority w:val="39"/>
    <w:unhideWhenUsed/>
    <w:pPr>
      <w:ind w:left="0" w:right="0" w:firstLine="0"/>
      <w:spacing w:after="57"/>
    </w:pPr>
  </w:style>
  <w:style w:type="paragraph" w:styleId="997">
    <w:name w:val="toc 2"/>
    <w:basedOn w:val="1007"/>
    <w:next w:val="1007"/>
    <w:uiPriority w:val="39"/>
    <w:unhideWhenUsed/>
    <w:pPr>
      <w:ind w:left="283" w:right="0" w:firstLine="0"/>
      <w:spacing w:after="57"/>
    </w:pPr>
  </w:style>
  <w:style w:type="paragraph" w:styleId="998">
    <w:name w:val="toc 3"/>
    <w:basedOn w:val="1007"/>
    <w:next w:val="1007"/>
    <w:uiPriority w:val="39"/>
    <w:unhideWhenUsed/>
    <w:pPr>
      <w:ind w:left="567" w:right="0" w:firstLine="0"/>
      <w:spacing w:after="57"/>
    </w:pPr>
  </w:style>
  <w:style w:type="paragraph" w:styleId="999">
    <w:name w:val="toc 4"/>
    <w:basedOn w:val="1007"/>
    <w:next w:val="1007"/>
    <w:uiPriority w:val="39"/>
    <w:unhideWhenUsed/>
    <w:pPr>
      <w:ind w:left="850" w:right="0" w:firstLine="0"/>
      <w:spacing w:after="57"/>
    </w:pPr>
  </w:style>
  <w:style w:type="paragraph" w:styleId="1000">
    <w:name w:val="toc 5"/>
    <w:basedOn w:val="1007"/>
    <w:next w:val="1007"/>
    <w:uiPriority w:val="39"/>
    <w:unhideWhenUsed/>
    <w:pPr>
      <w:ind w:left="1134" w:right="0" w:firstLine="0"/>
      <w:spacing w:after="57"/>
    </w:pPr>
  </w:style>
  <w:style w:type="paragraph" w:styleId="1001">
    <w:name w:val="toc 6"/>
    <w:basedOn w:val="1007"/>
    <w:next w:val="1007"/>
    <w:uiPriority w:val="39"/>
    <w:unhideWhenUsed/>
    <w:pPr>
      <w:ind w:left="1417" w:right="0" w:firstLine="0"/>
      <w:spacing w:after="57"/>
    </w:pPr>
  </w:style>
  <w:style w:type="paragraph" w:styleId="1002">
    <w:name w:val="toc 7"/>
    <w:basedOn w:val="1007"/>
    <w:next w:val="1007"/>
    <w:uiPriority w:val="39"/>
    <w:unhideWhenUsed/>
    <w:pPr>
      <w:ind w:left="1701" w:right="0" w:firstLine="0"/>
      <w:spacing w:after="57"/>
    </w:pPr>
  </w:style>
  <w:style w:type="paragraph" w:styleId="1003">
    <w:name w:val="toc 8"/>
    <w:basedOn w:val="1007"/>
    <w:next w:val="1007"/>
    <w:uiPriority w:val="39"/>
    <w:unhideWhenUsed/>
    <w:pPr>
      <w:ind w:left="1984" w:right="0" w:firstLine="0"/>
      <w:spacing w:after="57"/>
    </w:pPr>
  </w:style>
  <w:style w:type="paragraph" w:styleId="1004">
    <w:name w:val="toc 9"/>
    <w:basedOn w:val="1007"/>
    <w:next w:val="1007"/>
    <w:uiPriority w:val="39"/>
    <w:unhideWhenUsed/>
    <w:pPr>
      <w:ind w:left="2268" w:right="0" w:firstLine="0"/>
      <w:spacing w:after="57"/>
    </w:pPr>
  </w:style>
  <w:style w:type="paragraph" w:styleId="1005">
    <w:name w:val="TOC Heading"/>
    <w:uiPriority w:val="39"/>
    <w:unhideWhenUsed/>
  </w:style>
  <w:style w:type="paragraph" w:styleId="1006">
    <w:name w:val="table of figures"/>
    <w:basedOn w:val="1007"/>
    <w:next w:val="1007"/>
    <w:uiPriority w:val="99"/>
    <w:unhideWhenUsed/>
    <w:pPr>
      <w:spacing w:after="0" w:afterAutospacing="0"/>
    </w:pPr>
  </w:style>
  <w:style w:type="paragraph" w:styleId="1007" w:default="1">
    <w:name w:val="Normal"/>
    <w:next w:val="1007"/>
    <w:link w:val="1007"/>
    <w:qFormat/>
    <w:rPr>
      <w:lang w:val="ru-RU" w:eastAsia="ar-SA" w:bidi="ar-SA"/>
    </w:rPr>
  </w:style>
  <w:style w:type="paragraph" w:styleId="1008">
    <w:name w:val="Заголовок 1"/>
    <w:basedOn w:val="1007"/>
    <w:next w:val="1007"/>
    <w:link w:val="1075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09">
    <w:name w:val="Заголовок 2"/>
    <w:basedOn w:val="1007"/>
    <w:next w:val="1009"/>
    <w:link w:val="107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1010">
    <w:name w:val="Заголовок 3"/>
    <w:basedOn w:val="1007"/>
    <w:next w:val="1007"/>
    <w:link w:val="107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1011">
    <w:name w:val="Заголовок 4"/>
    <w:basedOn w:val="1007"/>
    <w:next w:val="1007"/>
    <w:link w:val="1077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1012">
    <w:name w:val="Основной шрифт абзаца"/>
    <w:next w:val="1012"/>
    <w:link w:val="1007"/>
    <w:semiHidden/>
  </w:style>
  <w:style w:type="table" w:styleId="1013">
    <w:name w:val="Обычная таблица"/>
    <w:next w:val="1013"/>
    <w:link w:val="1007"/>
    <w:uiPriority w:val="99"/>
    <w:semiHidden/>
    <w:unhideWhenUsed/>
    <w:tblPr/>
  </w:style>
  <w:style w:type="numbering" w:styleId="1014">
    <w:name w:val="Нет списка"/>
    <w:next w:val="1014"/>
    <w:link w:val="1007"/>
    <w:uiPriority w:val="99"/>
    <w:semiHidden/>
    <w:unhideWhenUsed/>
  </w:style>
  <w:style w:type="character" w:styleId="1015">
    <w:name w:val="Основной шрифт абзаца6"/>
    <w:next w:val="1015"/>
    <w:link w:val="1007"/>
  </w:style>
  <w:style w:type="character" w:styleId="1016">
    <w:name w:val="Основной шрифт абзаца5"/>
    <w:next w:val="1016"/>
    <w:link w:val="1007"/>
  </w:style>
  <w:style w:type="character" w:styleId="1017">
    <w:name w:val="Основной шрифт абзаца4"/>
    <w:next w:val="1017"/>
    <w:link w:val="1007"/>
  </w:style>
  <w:style w:type="character" w:styleId="1018">
    <w:name w:val="Absatz-Standardschriftart"/>
    <w:next w:val="1018"/>
    <w:link w:val="1007"/>
  </w:style>
  <w:style w:type="character" w:styleId="1019">
    <w:name w:val="WW-Absatz-Standardschriftart"/>
    <w:next w:val="1019"/>
    <w:link w:val="1007"/>
  </w:style>
  <w:style w:type="character" w:styleId="1020">
    <w:name w:val="Основной шрифт абзаца3"/>
    <w:next w:val="1020"/>
    <w:link w:val="1007"/>
  </w:style>
  <w:style w:type="character" w:styleId="1021">
    <w:name w:val="WW-Absatz-Standardschriftart1"/>
    <w:next w:val="1021"/>
    <w:link w:val="1007"/>
  </w:style>
  <w:style w:type="character" w:styleId="1022">
    <w:name w:val="Основной шрифт абзаца2"/>
    <w:next w:val="1022"/>
    <w:link w:val="1007"/>
  </w:style>
  <w:style w:type="character" w:styleId="1023">
    <w:name w:val="WW-Absatz-Standardschriftart11"/>
    <w:next w:val="1023"/>
    <w:link w:val="1007"/>
  </w:style>
  <w:style w:type="character" w:styleId="1024">
    <w:name w:val="Основной шрифт абзаца1"/>
    <w:next w:val="1024"/>
    <w:link w:val="1007"/>
  </w:style>
  <w:style w:type="character" w:styleId="1025">
    <w:name w:val="Îñíîâíîé øðèôò"/>
    <w:next w:val="1025"/>
    <w:link w:val="1007"/>
  </w:style>
  <w:style w:type="character" w:styleId="1026">
    <w:name w:val="Гиперссылка"/>
    <w:next w:val="1026"/>
    <w:link w:val="1007"/>
    <w:uiPriority w:val="99"/>
    <w:semiHidden/>
    <w:rPr>
      <w:color w:val="0000ff"/>
      <w:u w:val="single"/>
    </w:rPr>
  </w:style>
  <w:style w:type="character" w:styleId="1027">
    <w:name w:val="Просмотренная гиперссылка"/>
    <w:next w:val="1027"/>
    <w:link w:val="1007"/>
    <w:semiHidden/>
    <w:rPr>
      <w:color w:val="800080"/>
      <w:u w:val="single"/>
    </w:rPr>
  </w:style>
  <w:style w:type="paragraph" w:styleId="1028">
    <w:name w:val="Заголовок"/>
    <w:basedOn w:val="1007"/>
    <w:next w:val="1029"/>
    <w:link w:val="100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29">
    <w:name w:val="Основной текст"/>
    <w:basedOn w:val="1007"/>
    <w:next w:val="1029"/>
    <w:link w:val="1007"/>
    <w:semiHidden/>
    <w:rPr>
      <w:sz w:val="28"/>
    </w:rPr>
  </w:style>
  <w:style w:type="paragraph" w:styleId="1030">
    <w:name w:val="Список"/>
    <w:basedOn w:val="1029"/>
    <w:next w:val="1030"/>
    <w:link w:val="1007"/>
    <w:semiHidden/>
    <w:rPr>
      <w:rFonts w:ascii="Arial" w:hAnsi="Arial" w:cs="Tahoma"/>
    </w:rPr>
  </w:style>
  <w:style w:type="paragraph" w:styleId="1031">
    <w:name w:val="Название6"/>
    <w:basedOn w:val="1007"/>
    <w:next w:val="1031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2">
    <w:name w:val="Указатель6"/>
    <w:basedOn w:val="1007"/>
    <w:next w:val="1032"/>
    <w:link w:val="1007"/>
    <w:pPr>
      <w:suppressLineNumbers/>
    </w:pPr>
    <w:rPr>
      <w:rFonts w:ascii="Arial" w:hAnsi="Arial" w:cs="Tahoma"/>
    </w:rPr>
  </w:style>
  <w:style w:type="paragraph" w:styleId="1033">
    <w:name w:val="Название5"/>
    <w:basedOn w:val="1007"/>
    <w:next w:val="1033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4">
    <w:name w:val="Указатель5"/>
    <w:basedOn w:val="1007"/>
    <w:next w:val="1034"/>
    <w:link w:val="1007"/>
    <w:pPr>
      <w:suppressLineNumbers/>
    </w:pPr>
    <w:rPr>
      <w:rFonts w:ascii="Arial" w:hAnsi="Arial" w:cs="Tahoma"/>
    </w:rPr>
  </w:style>
  <w:style w:type="paragraph" w:styleId="1035">
    <w:name w:val="Название4"/>
    <w:basedOn w:val="1007"/>
    <w:next w:val="1035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6">
    <w:name w:val="Указатель4"/>
    <w:basedOn w:val="1007"/>
    <w:next w:val="1036"/>
    <w:link w:val="1007"/>
    <w:pPr>
      <w:suppressLineNumbers/>
    </w:pPr>
    <w:rPr>
      <w:rFonts w:ascii="Arial" w:hAnsi="Arial" w:cs="Tahoma"/>
    </w:rPr>
  </w:style>
  <w:style w:type="paragraph" w:styleId="1037">
    <w:name w:val="Название3"/>
    <w:basedOn w:val="1007"/>
    <w:next w:val="1037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8">
    <w:name w:val="Указатель3"/>
    <w:basedOn w:val="1007"/>
    <w:next w:val="1038"/>
    <w:link w:val="1007"/>
    <w:pPr>
      <w:suppressLineNumbers/>
    </w:pPr>
    <w:rPr>
      <w:rFonts w:ascii="Arial" w:hAnsi="Arial" w:cs="Tahoma"/>
    </w:rPr>
  </w:style>
  <w:style w:type="paragraph" w:styleId="1039">
    <w:name w:val="Название2"/>
    <w:basedOn w:val="1007"/>
    <w:next w:val="1039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0">
    <w:name w:val="Указатель2"/>
    <w:basedOn w:val="1007"/>
    <w:next w:val="1040"/>
    <w:link w:val="1007"/>
    <w:pPr>
      <w:suppressLineNumbers/>
    </w:pPr>
    <w:rPr>
      <w:rFonts w:ascii="Arial" w:hAnsi="Arial" w:cs="Tahoma"/>
    </w:rPr>
  </w:style>
  <w:style w:type="paragraph" w:styleId="1041">
    <w:name w:val="Название1"/>
    <w:basedOn w:val="1007"/>
    <w:next w:val="1041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2">
    <w:name w:val="Указатель1"/>
    <w:basedOn w:val="1007"/>
    <w:next w:val="1042"/>
    <w:link w:val="1007"/>
    <w:pPr>
      <w:suppressLineNumbers/>
    </w:pPr>
    <w:rPr>
      <w:rFonts w:ascii="Arial" w:hAnsi="Arial" w:cs="Tahoma"/>
    </w:rPr>
  </w:style>
  <w:style w:type="paragraph" w:styleId="1043">
    <w:name w:val="Верхний колонтитул"/>
    <w:basedOn w:val="1007"/>
    <w:next w:val="1043"/>
    <w:link w:val="1050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4">
    <w:name w:val="Нижний колонтитул"/>
    <w:basedOn w:val="1007"/>
    <w:next w:val="1044"/>
    <w:link w:val="1051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5">
    <w:name w:val="Текст выноски"/>
    <w:basedOn w:val="1007"/>
    <w:next w:val="1045"/>
    <w:link w:val="1007"/>
    <w:rPr>
      <w:rFonts w:ascii="Tahoma" w:hAnsi="Tahoma" w:cs="Tahoma"/>
      <w:sz w:val="16"/>
      <w:szCs w:val="16"/>
    </w:rPr>
  </w:style>
  <w:style w:type="paragraph" w:styleId="1046">
    <w:name w:val="Содержимое таблицы"/>
    <w:basedOn w:val="1007"/>
    <w:next w:val="1046"/>
    <w:link w:val="1007"/>
    <w:pPr>
      <w:suppressLineNumbers/>
    </w:pPr>
  </w:style>
  <w:style w:type="paragraph" w:styleId="1047">
    <w:name w:val="Заголовок таблицы"/>
    <w:basedOn w:val="1046"/>
    <w:next w:val="1047"/>
    <w:link w:val="1007"/>
    <w:pPr>
      <w:jc w:val="center"/>
      <w:suppressLineNumbers/>
    </w:pPr>
    <w:rPr>
      <w:b/>
      <w:bCs/>
    </w:rPr>
  </w:style>
  <w:style w:type="paragraph" w:styleId="1048">
    <w:name w:val="Содержимое врезки"/>
    <w:basedOn w:val="1029"/>
    <w:next w:val="1048"/>
    <w:link w:val="1007"/>
  </w:style>
  <w:style w:type="table" w:styleId="1049">
    <w:name w:val="Сетка таблицы"/>
    <w:basedOn w:val="1013"/>
    <w:next w:val="1049"/>
    <w:link w:val="1007"/>
    <w:tblPr/>
  </w:style>
  <w:style w:type="character" w:styleId="1050">
    <w:name w:val="Верхний колонтитул Знак"/>
    <w:next w:val="1050"/>
    <w:link w:val="1043"/>
    <w:rPr>
      <w:lang w:eastAsia="ar-SA"/>
    </w:rPr>
  </w:style>
  <w:style w:type="character" w:styleId="1051">
    <w:name w:val="Нижний колонтитул Знак"/>
    <w:next w:val="1051"/>
    <w:link w:val="1044"/>
    <w:rPr>
      <w:lang w:eastAsia="ar-SA"/>
    </w:rPr>
  </w:style>
  <w:style w:type="character" w:styleId="1052">
    <w:name w:val="Номер страницы"/>
    <w:basedOn w:val="1012"/>
    <w:next w:val="1052"/>
    <w:link w:val="1007"/>
  </w:style>
  <w:style w:type="character" w:styleId="1053">
    <w:name w:val="Основной текст + 16,5 pt2,Курсив1,Основной текст + 10"/>
    <w:next w:val="1053"/>
    <w:link w:val="1007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54">
    <w:name w:val="Основной текст (3)_"/>
    <w:next w:val="1054"/>
    <w:link w:val="1055"/>
    <w:rPr>
      <w:sz w:val="22"/>
      <w:szCs w:val="22"/>
      <w:shd w:val="clear" w:color="auto" w:fill="ffffff"/>
    </w:rPr>
  </w:style>
  <w:style w:type="paragraph" w:styleId="1055">
    <w:name w:val="Основной текст (3)"/>
    <w:basedOn w:val="1007"/>
    <w:next w:val="1055"/>
    <w:link w:val="1054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56">
    <w:name w:val="Без интервала"/>
    <w:next w:val="1056"/>
    <w:link w:val="100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57">
    <w:name w:val="Font Style13"/>
    <w:next w:val="1057"/>
    <w:link w:val="1007"/>
    <w:rPr>
      <w:rFonts w:ascii="Times New Roman" w:hAnsi="Times New Roman" w:cs="Times New Roman"/>
      <w:sz w:val="26"/>
      <w:szCs w:val="26"/>
    </w:rPr>
  </w:style>
  <w:style w:type="paragraph" w:styleId="1058">
    <w:name w:val="Обычный (веб)"/>
    <w:basedOn w:val="1007"/>
    <w:next w:val="1058"/>
    <w:link w:val="1007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9">
    <w:name w:val="apple-converted-space"/>
    <w:next w:val="1059"/>
    <w:link w:val="1007"/>
  </w:style>
  <w:style w:type="character" w:styleId="1060">
    <w:name w:val="Font Style18"/>
    <w:next w:val="1060"/>
    <w:link w:val="1007"/>
    <w:uiPriority w:val="99"/>
    <w:rPr>
      <w:rFonts w:ascii="Times New Roman" w:hAnsi="Times New Roman" w:cs="Times New Roman"/>
      <w:sz w:val="26"/>
      <w:szCs w:val="26"/>
    </w:rPr>
  </w:style>
  <w:style w:type="paragraph" w:styleId="1061">
    <w:name w:val="Основной текст с отступом"/>
    <w:basedOn w:val="1007"/>
    <w:next w:val="1061"/>
    <w:link w:val="1062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62">
    <w:name w:val="Основной текст с отступом Знак"/>
    <w:next w:val="1062"/>
    <w:link w:val="1061"/>
    <w:uiPriority w:val="99"/>
    <w:rPr>
      <w:color w:val="000000"/>
      <w:sz w:val="28"/>
      <w:szCs w:val="28"/>
      <w:lang w:eastAsia="ar-SA"/>
    </w:rPr>
  </w:style>
  <w:style w:type="paragraph" w:styleId="1063">
    <w:name w:val="ConsPlusNormal"/>
    <w:next w:val="1063"/>
    <w:link w:val="10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64">
    <w:name w:val="ConsPlusNormal Знак"/>
    <w:next w:val="1064"/>
    <w:link w:val="1063"/>
    <w:rPr>
      <w:rFonts w:ascii="Arial" w:hAnsi="Arial" w:cs="Arial"/>
      <w:lang w:val="ru-RU" w:eastAsia="ru-RU" w:bidi="ar-SA"/>
    </w:rPr>
  </w:style>
  <w:style w:type="paragraph" w:styleId="1065">
    <w:name w:val="Основной текст с отступом 2"/>
    <w:basedOn w:val="1007"/>
    <w:next w:val="1065"/>
    <w:link w:val="1066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66">
    <w:name w:val="Основной текст с отступом 2 Знак"/>
    <w:next w:val="1066"/>
    <w:link w:val="1065"/>
    <w:uiPriority w:val="99"/>
    <w:rPr>
      <w:color w:val="000000"/>
      <w:sz w:val="26"/>
      <w:szCs w:val="26"/>
      <w:lang w:eastAsia="ar-SA"/>
    </w:rPr>
  </w:style>
  <w:style w:type="character" w:styleId="1067">
    <w:name w:val="Знак примечания"/>
    <w:next w:val="1067"/>
    <w:link w:val="1007"/>
    <w:uiPriority w:val="99"/>
    <w:semiHidden/>
    <w:unhideWhenUsed/>
    <w:rPr>
      <w:sz w:val="16"/>
      <w:szCs w:val="16"/>
    </w:rPr>
  </w:style>
  <w:style w:type="paragraph" w:styleId="1068">
    <w:name w:val="Текст примечания"/>
    <w:basedOn w:val="1007"/>
    <w:next w:val="1068"/>
    <w:link w:val="1069"/>
    <w:uiPriority w:val="99"/>
    <w:semiHidden/>
    <w:unhideWhenUsed/>
  </w:style>
  <w:style w:type="character" w:styleId="1069">
    <w:name w:val="Текст примечания Знак"/>
    <w:next w:val="1069"/>
    <w:link w:val="1068"/>
    <w:uiPriority w:val="99"/>
    <w:semiHidden/>
    <w:rPr>
      <w:lang w:eastAsia="ar-SA"/>
    </w:rPr>
  </w:style>
  <w:style w:type="paragraph" w:styleId="1070">
    <w:name w:val="Тема примечания"/>
    <w:basedOn w:val="1068"/>
    <w:next w:val="1068"/>
    <w:link w:val="1071"/>
    <w:uiPriority w:val="99"/>
    <w:semiHidden/>
    <w:unhideWhenUsed/>
    <w:rPr>
      <w:b/>
      <w:bCs/>
    </w:rPr>
  </w:style>
  <w:style w:type="character" w:styleId="1071">
    <w:name w:val="Тема примечания Знак"/>
    <w:next w:val="1071"/>
    <w:link w:val="1070"/>
    <w:uiPriority w:val="99"/>
    <w:semiHidden/>
    <w:rPr>
      <w:b/>
      <w:bCs/>
      <w:lang w:eastAsia="ar-SA"/>
    </w:rPr>
  </w:style>
  <w:style w:type="character" w:styleId="1072">
    <w:name w:val="Строгий"/>
    <w:next w:val="1072"/>
    <w:link w:val="1007"/>
    <w:uiPriority w:val="22"/>
    <w:qFormat/>
    <w:rPr>
      <w:b/>
      <w:bCs/>
    </w:rPr>
  </w:style>
  <w:style w:type="character" w:styleId="1073">
    <w:name w:val="Заголовок 2 Знак"/>
    <w:next w:val="1073"/>
    <w:link w:val="1009"/>
    <w:uiPriority w:val="9"/>
    <w:rPr>
      <w:b/>
      <w:bCs/>
      <w:sz w:val="36"/>
      <w:szCs w:val="36"/>
    </w:rPr>
  </w:style>
  <w:style w:type="paragraph" w:styleId="1074">
    <w:name w:val="paragraph"/>
    <w:basedOn w:val="1007"/>
    <w:next w:val="1074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5">
    <w:name w:val="Заголовок 1 Знак"/>
    <w:next w:val="1075"/>
    <w:link w:val="1008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76">
    <w:name w:val="b-article__text"/>
    <w:basedOn w:val="1007"/>
    <w:next w:val="1076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7">
    <w:name w:val="Заголовок 4 Знак"/>
    <w:next w:val="1077"/>
    <w:link w:val="1011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78">
    <w:name w:val="Заголовок 3 Знак"/>
    <w:next w:val="1078"/>
    <w:link w:val="1010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79">
    <w:name w:val="Абзац списка"/>
    <w:basedOn w:val="1007"/>
    <w:next w:val="1079"/>
    <w:link w:val="1007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0">
    <w:name w:val="Header"/>
    <w:next w:val="1080"/>
    <w:link w:val="1007"/>
  </w:style>
  <w:style w:type="character" w:styleId="1081">
    <w:name w:val="Title"/>
    <w:next w:val="1081"/>
    <w:link w:val="1007"/>
  </w:style>
  <w:style w:type="character" w:styleId="1082">
    <w:name w:val="dashed"/>
    <w:next w:val="1082"/>
    <w:link w:val="1007"/>
  </w:style>
  <w:style w:type="character" w:styleId="1083">
    <w:name w:val="buttons"/>
    <w:next w:val="1083"/>
    <w:link w:val="1007"/>
  </w:style>
  <w:style w:type="paragraph" w:styleId="1084">
    <w:name w:val="float"/>
    <w:basedOn w:val="1007"/>
    <w:next w:val="1084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5">
    <w:name w:val="Caption"/>
    <w:next w:val="1085"/>
    <w:link w:val="1007"/>
  </w:style>
  <w:style w:type="character" w:styleId="1086">
    <w:name w:val="time"/>
    <w:next w:val="1086"/>
    <w:link w:val="1007"/>
  </w:style>
  <w:style w:type="character" w:styleId="1087">
    <w:name w:val="i18n"/>
    <w:next w:val="1087"/>
    <w:link w:val="1007"/>
  </w:style>
  <w:style w:type="paragraph" w:styleId="1088">
    <w:name w:val="z-Начало формы"/>
    <w:basedOn w:val="1007"/>
    <w:next w:val="1007"/>
    <w:link w:val="1089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89">
    <w:name w:val="z-Начало формы Знак"/>
    <w:next w:val="1089"/>
    <w:link w:val="1088"/>
    <w:uiPriority w:val="99"/>
    <w:semiHidden/>
    <w:rPr>
      <w:rFonts w:ascii="Arial" w:hAnsi="Arial" w:cs="Arial"/>
      <w:vanish/>
      <w:sz w:val="16"/>
      <w:szCs w:val="16"/>
    </w:rPr>
  </w:style>
  <w:style w:type="paragraph" w:styleId="1090">
    <w:name w:val="z-Конец формы"/>
    <w:basedOn w:val="1007"/>
    <w:next w:val="1007"/>
    <w:link w:val="1091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91">
    <w:name w:val="z-Конец формы Знак"/>
    <w:next w:val="1091"/>
    <w:link w:val="1090"/>
    <w:uiPriority w:val="99"/>
    <w:semiHidden/>
    <w:rPr>
      <w:rFonts w:ascii="Arial" w:hAnsi="Arial" w:cs="Arial"/>
      <w:vanish/>
      <w:sz w:val="16"/>
      <w:szCs w:val="16"/>
    </w:rPr>
  </w:style>
  <w:style w:type="character" w:styleId="1092">
    <w:name w:val="message-time"/>
    <w:next w:val="1092"/>
    <w:link w:val="1007"/>
  </w:style>
  <w:style w:type="character" w:styleId="1093" w:default="1">
    <w:name w:val="Default Paragraph Font"/>
    <w:uiPriority w:val="1"/>
    <w:semiHidden/>
    <w:unhideWhenUsed/>
  </w:style>
  <w:style w:type="numbering" w:styleId="1094" w:default="1">
    <w:name w:val="No List"/>
    <w:uiPriority w:val="99"/>
    <w:semiHidden/>
    <w:unhideWhenUsed/>
  </w:style>
  <w:style w:type="table" w:styleId="10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53</cp:revision>
  <dcterms:created xsi:type="dcterms:W3CDTF">2023-12-05T08:05:00Z</dcterms:created>
  <dcterms:modified xsi:type="dcterms:W3CDTF">2024-12-10T09:35:06Z</dcterms:modified>
  <cp:version>917504</cp:version>
</cp:coreProperties>
</file>